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28" w:rsidRPr="00393B28" w:rsidRDefault="00393B28" w:rsidP="00393B28">
      <w:pPr>
        <w:shd w:val="clear" w:color="auto" w:fill="F9F6C8"/>
        <w:spacing w:before="150" w:after="150" w:line="432" w:lineRule="atLeast"/>
        <w:ind w:left="150" w:right="150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proofErr w:type="spellStart"/>
      <w:r w:rsidRPr="00393B2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Артикаин</w:t>
      </w:r>
      <w:proofErr w:type="spellEnd"/>
      <w:r w:rsidRPr="00393B2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ИНИБСА</w:t>
      </w:r>
      <w:r w:rsidRPr="00393B2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 xml:space="preserve">Инструкция по медицинскому применению РУ № </w:t>
      </w:r>
      <w:proofErr w:type="gramStart"/>
      <w:r w:rsidRPr="00393B2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</w:t>
      </w:r>
      <w:proofErr w:type="gramEnd"/>
      <w:r w:rsidRPr="00393B2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N014371/01</w:t>
      </w:r>
    </w:p>
    <w:p w:rsidR="00393B28" w:rsidRPr="00393B28" w:rsidRDefault="00393B28" w:rsidP="00393B28">
      <w:pPr>
        <w:shd w:val="clear" w:color="auto" w:fill="FFFFFF"/>
        <w:spacing w:before="450" w:after="105" w:line="240" w:lineRule="auto"/>
        <w:outlineLvl w:val="1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Лекарственная форма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Раствор для инъекций.</w:t>
      </w:r>
    </w:p>
    <w:p w:rsidR="00393B28" w:rsidRPr="00393B28" w:rsidRDefault="00393B28" w:rsidP="00393B28">
      <w:pPr>
        <w:shd w:val="clear" w:color="auto" w:fill="FFFFFF"/>
        <w:spacing w:before="450" w:after="105" w:line="240" w:lineRule="auto"/>
        <w:outlineLvl w:val="1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Дата последнего изменения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Bookmark1073741824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27.04.2020</w:t>
      </w:r>
      <w:bookmarkEnd w:id="0"/>
    </w:p>
    <w:p w:rsidR="00393B28" w:rsidRPr="00393B28" w:rsidRDefault="00393B28" w:rsidP="00393B28">
      <w:pPr>
        <w:shd w:val="clear" w:color="auto" w:fill="FFFFFF"/>
        <w:spacing w:before="450" w:after="105" w:line="240" w:lineRule="auto"/>
        <w:outlineLvl w:val="1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Состав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 мл препарата содержит: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Действующие вещества:             40 мг/мл + 0,010 мг/мл*                40 мг/мл + 0,005 мг/мл**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Артикаина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гидрохлорид                             40 мг                                                40 мг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Эпинефрина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гидротартрат</w:t>
      </w:r>
      <w:proofErr w:type="spellEnd"/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(в пересчете на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эпинефрин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                     0,010 мг                                           0,005 мг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Вспомогательные вещества: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Натрия хлорид, натрия метабисульфит, хлористоводородная кислота, натрия гидроксид, вода для инъекций до 1 мл.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* соответствует содержанию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эпинефрина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растворе 1:100000.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** соответствует содержанию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эпинефрина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растворе 1:200000.</w:t>
      </w:r>
    </w:p>
    <w:p w:rsidR="00393B28" w:rsidRPr="00393B28" w:rsidRDefault="00393B28" w:rsidP="00393B28">
      <w:pPr>
        <w:shd w:val="clear" w:color="auto" w:fill="FFFFFF"/>
        <w:spacing w:before="450" w:after="105" w:line="240" w:lineRule="auto"/>
        <w:outlineLvl w:val="1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Описание лекарственной формы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Прозрачный бесцветный или слегка окрашенный раствор, свободный от механических включений.</w:t>
      </w:r>
    </w:p>
    <w:p w:rsidR="00393B28" w:rsidRPr="00393B28" w:rsidRDefault="00393B28" w:rsidP="00393B28">
      <w:pPr>
        <w:shd w:val="clear" w:color="auto" w:fill="FFFFFF"/>
        <w:spacing w:before="450" w:after="105" w:line="240" w:lineRule="auto"/>
        <w:outlineLvl w:val="1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proofErr w:type="spellStart"/>
      <w:r w:rsidRPr="00393B2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Фармакокинетика</w:t>
      </w:r>
      <w:proofErr w:type="spellEnd"/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Артикаин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быстро и практически сразу после введения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метаболизируется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(путем гидролиза) неспецифическими плазменными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эстеразами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тканях и крови (90%); остальные 10% дозы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артикаина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метаболизируются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микросомальными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ферментами печени. Образующийся при этом главный метаболит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артикаина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—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артикаиновая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кислота — не обладает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местноанестезирующей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активностью и системной токсичностью, что позволяет проводить повторные введения препарата.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Концентрации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артикаина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крови в области альвеол зуба после подслизистого введения в сотни раз превышают концентрации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артикаина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системном кровотоке.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Связывание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артикаина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белками плазмы крови составляет приблизительно 95%.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Артикаин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выводится через почки, главным образом, в виде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артикаиновой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кислоты. После подслизистого введения период полувыведения составляет приблизительно 25 мин.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Артикаин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проникает через плацентарный барьер, практически не выделяется с грудным молоком.</w:t>
      </w:r>
    </w:p>
    <w:p w:rsidR="00393B28" w:rsidRPr="00393B28" w:rsidRDefault="00393B28" w:rsidP="00393B28">
      <w:pPr>
        <w:shd w:val="clear" w:color="auto" w:fill="FFFFFF"/>
        <w:spacing w:before="450" w:after="105" w:line="240" w:lineRule="auto"/>
        <w:outlineLvl w:val="1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proofErr w:type="spellStart"/>
      <w:r w:rsidRPr="00393B2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Фармакодинамика</w:t>
      </w:r>
      <w:proofErr w:type="spellEnd"/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Препарат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Артикаин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ИНИБСА, применяемый для местной инфильтрационной и проводниковой анестезии в стоматологии, является комбинированным препаратом, в состав которого входит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артикаин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местноанестезирующее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средство амидного типа) и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эпинефрин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(адреналин) (сосудосуживающее средство).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Эпинефрин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добавляется в состав препарата для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пролонгирования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действия анестезии.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Артикаин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оказывает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местноанестезирующее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действие за счет блокады </w:t>
      </w:r>
      <w:proofErr w:type="gram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потенциал-зависимых</w:t>
      </w:r>
      <w:proofErr w:type="gram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натриевых каналов в клеточной мембране нейронов, что приводит к обратимому угнетению проводимости импульсов по нервному волокну и обратимой потере чувствительности. Препарат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Артикаин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ИНИБСА оказывает быстрое (латентный период — от 1 до 3 мин) и сильное анестезирующее действие и имеет хорошую тканевую переносимость. Продолжительность анестезии составляет не менее 45 минут для дозировки 40 мг/мл + 0,005 мг/мл и не менее 75 минут для дозировки 40 мг/мл + 0,010 мг/мл.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Дети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Опубликованные исследования показали, что у детей в возрасте от 3,5 до 16 лет применение препарата в дозе 5 мг/кг массы тела обеспечивало достаточное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местноанестезирующее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действие при проведении нижнечелюстной инфильтрационной или верхнечелюстной проводниковой анестезии. Продолжительность анестезии была сопоставима во всех возрастных группах и зависела от введенного объема препарата.</w:t>
      </w:r>
    </w:p>
    <w:p w:rsidR="00393B28" w:rsidRPr="00393B28" w:rsidRDefault="00393B28" w:rsidP="00393B28">
      <w:pPr>
        <w:shd w:val="clear" w:color="auto" w:fill="FFFFFF"/>
        <w:spacing w:before="450" w:after="105" w:line="240" w:lineRule="auto"/>
        <w:outlineLvl w:val="1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Показания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Артикаин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ИНИБСА </w:t>
      </w:r>
      <w:proofErr w:type="gram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показан</w:t>
      </w:r>
      <w:proofErr w:type="gram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местной анестезии (инфильтрационная и проводниковая анестезия) в стоматологии: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В концентрации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артикаина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(40 мг/мл) и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эпинефрина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(0,005 мг/мл) при плановых вмешательствах, таких как неосложненное удаление одного или нескольких зубов, обработка кариозных полостей, обтачивание зубов перед протезированием.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концентрации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артикаина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(40 мг/мл) и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эпинефрина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(0,010 мг/мл) при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травматичных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вмешательствах и при необходимости выраженного гемостаза или улучшения визуализации операционного поля: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        стоматологические операции на слизистой оболочке или костях, требующие создания условий более выраженной ишемии;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        операции на пульпе зуба (ампутация или экстирпация);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        удаление сломанного зуба (остеотомия) или зуба, пораженного апикальным пародонтитом;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        продолжительные хирургические вмешательства;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–       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чрескожный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остеосинтез;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        эксцизия кист;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        вмешательства на слизистой оболочке десны;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        резекция верхушки корня зуба.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Артикаин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ИНИБСА применяется у взрослых, подростков и детей в возрасте 4 лет и старше.</w:t>
      </w:r>
    </w:p>
    <w:p w:rsidR="00393B28" w:rsidRPr="00393B28" w:rsidRDefault="00393B28" w:rsidP="00393B28">
      <w:pPr>
        <w:shd w:val="clear" w:color="auto" w:fill="FFFFFF"/>
        <w:spacing w:before="450" w:after="105" w:line="240" w:lineRule="auto"/>
        <w:outlineLvl w:val="1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Противопоказания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–        Повышенная чувствительность к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артикаину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или к другим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местноанестезирующим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средствам амидного типа, за исключением случаев, когда при гиперчувствительности к 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местноанестезирующим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средствам амидного типа аллергия к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артикаину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была исключена с помощью соответствующих исследований, проведенных с соблюдением всех необходимых правил и требований.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–        Повышенная чувствительность к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эпинефрину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–        Повышенная чувствительность к сульфитам (в частности, у пациентов с бронхиальной астмой и повышенной чувствительностью к сульфитам, так как возможно развитие острых аллергических реакций, таких как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бронхоспазм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и любым другим вспомогательным компонентам препарата.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        Детский возраст до 4 лет (в связи с отсутствием достаточных клинических данных).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Противопоказания, относящиеся к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артикаину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        Тяжелые нарушения функции синусового узла или тяжелые нарушения проводимости (такие как выраженная брадикардия, атриовентрикулярная блокада 2</w:t>
      </w: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noBreakHyphen/>
        <w:t>й или 3</w:t>
      </w: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noBreakHyphen/>
        <w:t>й степени).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        Острая декомпенсированная сердечная недостаточность.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        Тяжелая артериальная гипотензия.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Противопоказания, относящиеся к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эпинефрину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–        Пароксизмальная тахикардия,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тахиаритмия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        Недавно перенесенный (3–6 месяцев назад) инфаркт миокарда.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        Недавно проведенное (3 месяца назад) аортокоронарное шунтирование.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–        Одновременный прием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некардиоселективных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бета-адреноблокаторов, например,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пропранолола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(риск развития гипертонического криза и </w:t>
      </w:r>
      <w:proofErr w:type="gram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тяжелой</w:t>
      </w:r>
      <w:proofErr w:type="gram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брадикардии).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–       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Закрытоугольная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глаукома.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        Гипертиреоз.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–       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Феохромоцитома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        Тяжелая артериальная гипертензия.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 осторожностью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        У пациентов с хронической сердечной недостаточностью, ишемической болезнью сердца, стенокардией, атеросклерозом, инфарктом миокарда в анамнезе, нарушениями ритма сердца, артериальной гипертензией;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        У пациентов с цереброваскулярными нарушениями, инсультом в анамнезе;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        У пациентов с хроническим бронхитом, эмфиземой легких;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        У пациентов с сахарным диабетом (потенциальный риск изменения концентрации глюкозы в крови);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–        У пациентов с недостаточностью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холинэстеразы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(применение возможно только в случае крайней необходимости, так как возможно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пролонгирование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выраженное усиление действия препарата);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        У пациентов с нарушениями свертываемости крови;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–        У пациентов с тяжелыми нарушениями функции печени и почек;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        У пациентов с выраженным возбуждением;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        У пациентов с эпилепсией в анамнезе;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        При совместном применении с галогенсодержащими средствами при проведении ингаляционной анестезии (см. раздел «Взаимодействие с другими лекарственными средствами»).</w:t>
      </w:r>
    </w:p>
    <w:p w:rsidR="00393B28" w:rsidRPr="00393B28" w:rsidRDefault="00393B28" w:rsidP="00393B28">
      <w:pPr>
        <w:shd w:val="clear" w:color="auto" w:fill="FFFFFF"/>
        <w:spacing w:before="450" w:after="105" w:line="240" w:lineRule="auto"/>
        <w:outlineLvl w:val="1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Применение при беременности и кормлении грудью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Беременность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Артикаин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эпинефрин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проникают через плацентарный барьер.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Концентрация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артикаина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сыворотке крови у новорожденных (после введения препарата матери) составляет приблизительно 30% от концентрации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артикаина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сыворотке крови матери.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Ввиду недостаточности клинических данных, решение о применении препарата врачом стоматологом может быть принято только в том случае, если потенциальная польза от его применения для матери оправдывает потенциальный риск для плода. При необходимости применения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артикаина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во время беременности лучше применять препараты, не содержащие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эпинефрин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или с меньшей концентрацией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эпинефрина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 случайном внутрисосудистом введении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эпинефрин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может уменьшать кровоснабжение матки.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Период грудного вскармливания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 краткосрочном применении препарата в период грудного вскармливания, как правило, не требуется прерывать кормление грудью, так как в грудном молоке не обнаруживается клинически значимых концентраций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артикаина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эпинефрина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Фертильность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исследованиях на животных с применением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артикаина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40 мг/мл и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эпинефрина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0,010 мг/мл не отмечено влияния на фертильность у особей мужского и женского пола. Не ожидается влияния на фертильность у человека при применении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артикаина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эпинефрина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 терапевтических дозах.</w:t>
      </w:r>
    </w:p>
    <w:p w:rsidR="00393B28" w:rsidRPr="00393B28" w:rsidRDefault="00393B28" w:rsidP="00393B28">
      <w:pPr>
        <w:shd w:val="clear" w:color="auto" w:fill="FFFFFF"/>
        <w:spacing w:before="450" w:after="105" w:line="240" w:lineRule="auto"/>
        <w:outlineLvl w:val="1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Способ применения и дозы</w:t>
      </w:r>
    </w:p>
    <w:p w:rsidR="00393B28" w:rsidRPr="00393B28" w:rsidRDefault="00393B28" w:rsidP="00393B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93B28" w:rsidRPr="00393B28" w:rsidRDefault="00393B28" w:rsidP="00393B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93B28" w:rsidRPr="00393B28" w:rsidRDefault="00393B28" w:rsidP="00393B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1" w:name="_GoBack"/>
      <w:bookmarkEnd w:id="1"/>
    </w:p>
    <w:p w:rsidR="00393B28" w:rsidRPr="00393B28" w:rsidRDefault="00393B28" w:rsidP="0039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Препарат предназначен для применения в ротовой полости и может вводиться только в ткани, где отсутствует воспаление.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Проводить инъекцию в воспаленные ткани нельзя.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Препарат нельзя вводить внутривенно.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того чтобы избежать случайного попадания препарата в кровеносные сосуды, перед его введением всегда следует проводить аспирационную пробу (в два этапа).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Основных системных реакций, которые могут развиться в результате случайного внутрисосудистого введения препарата, можно избежать, соблюдая технику инъекции: после проведения аспирационной пробы медленно вводят 0,1–0,2 мл препарата, затем, не ранее чем через 20–30 секунд, медленно вводят остальную дозу препарата. Давление инъекции должно соответствовать чувствительности тканей.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анестезии при неосложненном удалении зубов верхней челюсти при отсутствии воспаления обычно вводят в подслизистую в области переходной складки с вестибулярной стороны 1,8 мл препарата (на каждый зуб). В отдельных случаях может потребоваться дополнительное введение от 1 мл до 1,8 мл для достижения полной анестезии. В большинстве случаев нет необходимости выполнять болезненные инъекции с небной стороны. При удалении нескольких рядом расположенных зубов количество инъекций обычно удается ограничить.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анестезии при небных разрезах и наложении швов с целью создания небного депо необходимо около 0,1 мл препарата на инъекцию.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случае удаления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премоляров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нижней челюсти при отсутствии воспаления можно обойтись без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мандибулярной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анестезии, так как инфильтрационная анестезия, обеспечиваемая инъекцией 1,8 мл на зуб, обычно является достаточной. Если же таким путем не удалось достичь желаемого эффекта, следует выполнить дополнительную инъекцию 1–1,8 мл препарата в подслизистую в область переходной складки нижней челюсти с вестибулярной стороны. Если же и в этом случае не удалось достичь полной анестезии, необходимо провести проводниковую блокаду нижнечелюстного нерва.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 хирургических вмешательствах препарат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Артикаин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ИНИБСА в зависимости от тяжести и длительности вмешательства дозируется индивидуально.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Для подготовки полости или препарирования под коронку любого зуба, за исключением нижних моляров, показано введение препарата в дозе 0,5–1,8 мл на каждый зуб по типу инфильтрационной анестезии с вестибулярной стороны.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 выполнении одной лечебной процедуры взрослым можно вводить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артикаин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дозе до 7 мг на 1 кг массы тела. Отмечено, что пациенты хорошо переносили дозы до 500 мг (соответствует 12,5 мл раствора для инъекций).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Для пациентов детского возраста (старше 4 лет) следует применять минимальные дозы, необходимые для достижения адекватной анестезии. Доза препарата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Артикаин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ИНИБСА подбирается в зависимости от возраста и массы тела ребенка, но доза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артикаина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 должна превышать 7 мг на 1 кг массы тела (0,175 мл/кг). Для детей с массой тела от 20 до 30 кг рекомендуемая доза препарата от 0,25 до 1 мл. Для детей с массой тела от 30 до 45 кг рекомендуемая доза препарата от 0,5 до 2 мл. Применение препарата у детей младше 1 года не изучалось.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Для пациентов пожилого возраста и всех пациентов с тяжелой почечной и печеночной недостаточностью возможно создание повышенных плазменных концентраций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артикаина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Для этих пациентов следует применять минимальные дозы, необходимые для достижения достаточной глубины анестезии.</w:t>
      </w:r>
    </w:p>
    <w:p w:rsidR="00393B28" w:rsidRPr="00393B28" w:rsidRDefault="00393B28" w:rsidP="00393B28">
      <w:pPr>
        <w:shd w:val="clear" w:color="auto" w:fill="FFFFFF"/>
        <w:spacing w:before="450" w:after="105" w:line="240" w:lineRule="auto"/>
        <w:outlineLvl w:val="1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Передозировка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2" w:name="Bookmark2097152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 появлении первых признаков развития побочного или токсического действия (головокружение, двигательное беспокойство, нарушение сознания) необходимо срочно прекратить инъекцию и придать пациенту горизонтальное положение. Необходим тщательный контроль показателей гемодинамики (пульс, артериальное давление) и проходимости дыхательных путей. Даже если симптомы не кажутся </w:t>
      </w:r>
      <w:proofErr w:type="gram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тяжелыми</w:t>
      </w:r>
      <w:proofErr w:type="gram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следует подготовить все необходимое для внутривенной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инфузии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и, по крайней мере, провести венепункцию. В зависимости от степени нарушения дыхания следует дать кислород, провести искусственное дыхание («рот в нос») и, при необходимости,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эндотрахеальную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интубацию с контролируемой вентиляцией легких. Применение аналептических препаратов центрального действия противопоказано. При непроизвольных мышечных подергиваниях или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генерализованных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судорогах показано внутривенное введение барбитуратов короткого или ультракороткого действия. Введение следует проводить медленно, под постоянным контролем показателей гемодинамики и дыхания. </w:t>
      </w:r>
      <w:proofErr w:type="gram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Одновременно следует проводить внутривенную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инфузию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жидкости через заранее установленную канюлю.</w:t>
      </w:r>
      <w:proofErr w:type="gram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Также следует дать больному кислород.</w:t>
      </w:r>
      <w:bookmarkEnd w:id="2"/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 тахикардии, брадикардии или выраженном снижении артериального давления пациенту следует придать горизонтальное положение с приподнятыми ногами. При тяжелых нарушениях кровообращения и шоке инъекцию препарата следует прекратить. Обеспечить больному горизонтальное положение с приподнятыми ногами, провести ингаляцию кислорода </w:t>
      </w: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и внутривенную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инфузию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сбалансированных электролитных и плазмозамещающих растворов, внутривенно ввести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глюкокортикоиды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(250–1000 мг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метилпреднизолона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). </w:t>
      </w:r>
      <w:proofErr w:type="gram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случае угрожающего сосудистого коллапса и нарастающей брадикардии ввести внутривенно 25–100 мкг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эпинефрина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(0,25–1,0 мл раствора с концентрацией 100 мкг/мл).</w:t>
      </w:r>
      <w:proofErr w:type="gram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Введение проводят медленно, под контролем пульса и артериального давления. Не следует вводить более 100 мкг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эпинефрина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 мл раствора за 1 раз). При введении дополнительных количеств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эпинефрина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его следует добавить к 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инфузионному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раствору. Скорость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инфузии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должна коррелировать с частотой пульса и уровнем артериального давления.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Тяжелые формы тахикардии и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тахиаритмии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могут быть устранены применением антиаритмических препаратов, однако, не следует использовать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некардиоселективные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бета-адреноблокаторы. В этих случаях необходимо применение кислорода и контроль показателей гемодинамики. При повышении артериального давления у больных с артериальной гипертонией следует, в случае необходимости, применять периферические вазодилататоры.</w:t>
      </w:r>
    </w:p>
    <w:p w:rsidR="00393B28" w:rsidRPr="00393B28" w:rsidRDefault="00393B28" w:rsidP="00393B28">
      <w:pPr>
        <w:shd w:val="clear" w:color="auto" w:fill="FFFFFF"/>
        <w:spacing w:before="450" w:after="105" w:line="240" w:lineRule="auto"/>
        <w:outlineLvl w:val="1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Побочные действия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Нежелательные побочные реакции перечислены ниже по классам систем органов (КСО) и частоте возникновения: очень часто (≥1/10); часто (≥1/100 до &lt;1/10); нечасто (от ≥1/1000 до &lt;1/100); редко (≥1/10000 до &lt;1/1000); очень редко (&lt;1/10000); частота неизвестна (не может быть установлена по имеющимся данным).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Нарушения со стороны иммунной системы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Частота неизвестна:</w:t>
      </w: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могут развиваться аллергические и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аллергоподобные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реакции. В месте инъекции они могут проявляться в виде отечности или воспаления слизистой оболочки. Проявлениями, не связанными с местом введения, могут быть гиперемия кожных покровов, зуд, конъюнктивит, ринит и ангионевротический отек. Ангионевротический отек может проявляться отеком верхней и/или нижней губы, щек, отеком голосовых связок с ощущением «комка в горле» и затруднением глотания, крапивницей и затруднением дыхания. Любые из этих проявлений могут прогрессировать до анафилактического шока.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Нарушения со стороны нервной системы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Часто:</w:t>
      </w: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парестезия, гипестезия; головная боль, главным образом, вследствие наличия в составе препарата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эпинефрина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Нечасто:</w:t>
      </w: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головокружение.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Частота неизвестна:</w:t>
      </w: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дозозависимые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реакции со стороны центральной нервной системы: ажитация, нервозность, ступор, иногда прогрессирующий до потери сознания, кома, дыхательные расстройства, иногда прогрессирующие до остановки дыхания, мышечный тремор, мышечные подергивания, иногда прогрессирующие до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генерализованных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судорог.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Иногда при нарушении правильной техники инъекции при введении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местноанестезирующего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средства в стоматологической практике возможно повреждение лицевого нерва, которое может привести к развитию паралича лицевого нерва.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Нарушения со стороны органа зрения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Частота неизвестна:</w:t>
      </w: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зрительные расстройства (нечеткость зрительного восприятия,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мидриаз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слепота, двоение в глазах), обычно обратимые и возникающие во время или через короткое время после инъекции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местноанестезирующего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средства.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Нарушения со стороны сердца и сосудов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Нечасто:</w:t>
      </w: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вследствие содержания в составе препарата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эпинефрина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очень редко возможно развитие тахикардии, нарушений сердечного ритма, повышение артериального давления.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Частота неизвестна:</w:t>
      </w: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снижение артериального давления, брадикардия, сердечная недостаточность и шок.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Нарушения со стороны желудочно-кишечного тракта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Часто:</w:t>
      </w: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тошнота, рвота.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Общие расстройства и нарушения в месте введения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Частота неизвестна:</w:t>
      </w: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в отдельных случаях при случайном внутрисосудистом введении возможно появление зон ишемии в месте введения, вплоть до некроза тканей.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Дети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проведенных исследованиях профиль безопасности у детей и подростков в возрасте от 4 до 18 лет был сопоставим с таковым у взрослых пациентов. Однако вследствие пролонгированной анестезии мягких тканей ротовой полости у детей более часто отмечалось повреждение мягких тканей (у 16% детей), особенно в возрасте от 3 до 7 лет. В ретроспективном исследовании детей в возрасте от 1 года до 4 лет стоматологические вмешательства, которые проводились с применением препаратов, содержащих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артикаин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эпинефрин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(40 мг/мл + 0,010 мг/мл), в дозе 4,2 мл не вызывали побочных реакций.</w:t>
      </w:r>
    </w:p>
    <w:p w:rsidR="00393B28" w:rsidRPr="00393B28" w:rsidRDefault="00393B28" w:rsidP="00393B28">
      <w:pPr>
        <w:shd w:val="clear" w:color="auto" w:fill="FFFFFF"/>
        <w:spacing w:before="450" w:after="105" w:line="240" w:lineRule="auto"/>
        <w:outlineLvl w:val="1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Особые указания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Открытые картриджи нельзя использовать повторно для других пациентов.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Нельзя использовать для инъекций поврежденный картридж.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 пациентов с заболеваниями </w:t>
      </w:r>
      <w:proofErr w:type="gram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сердечно-сосудистой</w:t>
      </w:r>
      <w:proofErr w:type="gram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системы (хроническая сердечная недостаточность, патология коронарных сосудов, стенокардия, нарушения ритма сердца, </w:t>
      </w: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инфаркт миокарда в анамнезе, артериальная гипертония), атеросклерозом, цереброваскулярными нарушениями, наличием инсульта в анамнезе, хроническим бронхитом, эмфиземой, сахарным диабетом, гипертиреозом, а также при наличии выраженного беспокойства целесообразно использование препарата с меньшей дозой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эпинефрина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Препарат содержит натрия метабисульфит, поэтому его применение противопоказано у пациентов с бронхиальной астмой и повышенной чувствительностью к сульфитам, так как возможно развитие острых аллергических реакций, таких как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бронхоспазм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Для того чтобы избежать риска развития побочных реакций необходимо применять минимальные эффективные дозы препарата и перед введением препарата проводить двухэтапную аспирационную пробу.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Регионарная и местная анестезии должны проводиться опытными специалистами в соответствующем образом оборудованном помещении при доступности готового к немедленному использованию оборудования и </w:t>
      </w:r>
      <w:proofErr w:type="gram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препаратов</w:t>
      </w:r>
      <w:proofErr w:type="gram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необходимых для проведения мониторинга сердечной деятельности и реанимационных мероприятий. Персонал, выполняющий анестезию, должен быть квалифицированным и обучен технике выполнения анестезии, должен быть знаком с диагностикой и лечением системных токсических реакций, нежелательных явлений и других осложнений.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Принимать пищу можно лишь после прекращения действия местной анестезии (восстановления чувствительности).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Детей и их родителей следует предупреждать о риске случайного повреждения мягких тканей зубами (прикусывание) из</w:t>
      </w: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noBreakHyphen/>
        <w:t>за длительного снижения чувствительности тканей вследствие действия препарата.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Следует учитывать, что в 1 мл раствора препарата содержится менее 1 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ммоль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(23 мг) натрия. Препарат предназначен для применения в стоматологии. Использование для анестезии дистальных отделов конечностей недопустимо (риск развития ишемии из</w:t>
      </w: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noBreakHyphen/>
        <w:t xml:space="preserve">за содержания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эпинефрина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Влияние на способность управлять транспортными средствами, механизмами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Решение о том, когда пациент после стоматологического вмешательства сможет вернуться к управлению транспортными средствами и занятиям другими потенциально опасными видами деятельности, требующими повышенной концентрации внимания и быстроты психомоторных реакций, должен принимать врач.</w:t>
      </w:r>
    </w:p>
    <w:p w:rsidR="00393B28" w:rsidRPr="00393B28" w:rsidRDefault="00393B28" w:rsidP="00393B28">
      <w:pPr>
        <w:shd w:val="clear" w:color="auto" w:fill="FFFFFF"/>
        <w:spacing w:before="450" w:after="105" w:line="240" w:lineRule="auto"/>
        <w:outlineLvl w:val="1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Взаимодействие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i/>
          <w:iCs/>
          <w:color w:val="333333"/>
          <w:sz w:val="21"/>
          <w:szCs w:val="21"/>
          <w:u w:val="single"/>
          <w:lang w:eastAsia="ru-RU"/>
        </w:rPr>
        <w:t>Противопоказанные комбинации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lastRenderedPageBreak/>
        <w:t xml:space="preserve">С </w:t>
      </w:r>
      <w:proofErr w:type="spellStart"/>
      <w:r w:rsidRPr="00393B28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некардиоселективными</w:t>
      </w:r>
      <w:proofErr w:type="spellEnd"/>
      <w:r w:rsidRPr="00393B28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 бета-адреноблокаторами, например</w:t>
      </w: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r w:rsidRPr="00393B28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с </w:t>
      </w:r>
      <w:proofErr w:type="spellStart"/>
      <w:r w:rsidRPr="00393B28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пропранололом</w:t>
      </w:r>
      <w:proofErr w:type="spellEnd"/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Риск развития гипертонического криза и </w:t>
      </w:r>
      <w:proofErr w:type="gram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выраженной</w:t>
      </w:r>
      <w:proofErr w:type="gram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брадикардии.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i/>
          <w:iCs/>
          <w:color w:val="333333"/>
          <w:sz w:val="21"/>
          <w:szCs w:val="21"/>
          <w:u w:val="single"/>
          <w:lang w:eastAsia="ru-RU"/>
        </w:rPr>
        <w:t>Взаимодействие, которое следует принимать во внимание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С трициклическими антидепрессантами или ингибиторами </w:t>
      </w:r>
      <w:proofErr w:type="spellStart"/>
      <w:r w:rsidRPr="00393B28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моноаминоксидазы</w:t>
      </w:r>
      <w:proofErr w:type="spellEnd"/>
      <w:r w:rsidRPr="00393B28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 (МАО)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Действие вазоконстрикторов (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адреномиметиков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), повышающих артериальное давление, например,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эпинефрина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может усиливаться трициклическими антидепрессантами или ингибиторами МАО.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 лекарственными средствами, угнетающими центральную нервную систему (ЦНС)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Местноанестезирующие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средства усиливают действие лекарственных средств, угнетающих ЦНС. Наркотические анальгетики усиливают действие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местноанестезирующих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средств, однако повышают риск угнетения дыхания.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 гепарином, ацетилсалициловой кислотой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 проведении инъекций препарата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Артикаин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ИНИБСА пациентам, получающим гепарин или ацетилсалициловую кислоту, возможно развитие кровотечений в месте инъекции.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С ингибиторами </w:t>
      </w:r>
      <w:proofErr w:type="spellStart"/>
      <w:r w:rsidRPr="00393B28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холинэстеразы</w:t>
      </w:r>
      <w:proofErr w:type="spellEnd"/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Замедление метаболизма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местноанестезирующих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лекарственных средств, в результате чего возможно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пролонгирование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выраженное усиление действия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артикаина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 гипогликемическими средствами для приема внутрь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Эпинефрин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может ингибировать высвобождение инсулина из </w:t>
      </w:r>
      <w:proofErr w:type="gram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бета-клеток</w:t>
      </w:r>
      <w:proofErr w:type="gram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поджелудочной железы и уменьшать эффекты гипогликемических средств для приема внутрь.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 некоторыми средствами для ингаляционной анестезии (</w:t>
      </w:r>
      <w:proofErr w:type="spellStart"/>
      <w:r w:rsidRPr="00393B28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галотан</w:t>
      </w:r>
      <w:proofErr w:type="spellEnd"/>
      <w:r w:rsidRPr="00393B28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)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Галотан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может повышать чувствительность миокарда к катехоламинам и увеличивать риск развития нарушений сердечного ритма после инъекций препарата </w:t>
      </w:r>
      <w:proofErr w:type="spellStart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Артикаин</w:t>
      </w:r>
      <w:proofErr w:type="spellEnd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ИНИБСА.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 дезинфицирующими растворами, содержащими тяжелые металлы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обработке места инъекции местного анестетика дезинфицирующими растворами, содержащими тяжелые металлы, повышается риск развития местных реакций — отека, болезненности.</w:t>
      </w:r>
    </w:p>
    <w:p w:rsidR="00393B28" w:rsidRPr="00393B28" w:rsidRDefault="00393B28" w:rsidP="00393B28">
      <w:pPr>
        <w:shd w:val="clear" w:color="auto" w:fill="FFFFFF"/>
        <w:spacing w:before="450" w:after="105" w:line="240" w:lineRule="auto"/>
        <w:outlineLvl w:val="1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Форма выпуска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3" w:name="Bookmark16777216"/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Раствор для инъекций 40 мг/мл + 0,005 мг/мл, 40 мг/мл + 0,010 мг/мл.</w:t>
      </w:r>
      <w:bookmarkEnd w:id="3"/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1,8 мл препарата в картридже из бесцветного боросиликатного стекла тип 1 ЕФ, на который наклеена этикетка. Картридж на одном конце имеет серый плунжер из эластомера, на другом конце диск из эластомера и соответствующую обкатку алюминиевым колпачком с анодированным покрытием. 10 картриджей помещают в контурную ячейковую упаковку из прозрачного термопластика и бумаги с ламинированным покрытием, герметично укупоренную.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 контурных ячейковых упаковок вместе с инструкцией по применению помещают в картонную пачку.</w:t>
      </w:r>
    </w:p>
    <w:p w:rsidR="00393B28" w:rsidRPr="00393B28" w:rsidRDefault="00393B28" w:rsidP="00393B28">
      <w:pPr>
        <w:shd w:val="clear" w:color="auto" w:fill="FFFFFF"/>
        <w:spacing w:before="450" w:after="105" w:line="240" w:lineRule="auto"/>
        <w:outlineLvl w:val="1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Условия отпуска из аптек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Отпускают по рецепту.</w:t>
      </w:r>
    </w:p>
    <w:p w:rsidR="00393B28" w:rsidRPr="00393B28" w:rsidRDefault="00393B28" w:rsidP="00393B28">
      <w:pPr>
        <w:shd w:val="clear" w:color="auto" w:fill="FFFFFF"/>
        <w:spacing w:before="450" w:after="105" w:line="240" w:lineRule="auto"/>
        <w:outlineLvl w:val="1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Срок годности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 года.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применять по истечении срока годности.</w:t>
      </w:r>
    </w:p>
    <w:p w:rsidR="00393B28" w:rsidRPr="00393B28" w:rsidRDefault="00393B28" w:rsidP="00393B28">
      <w:pPr>
        <w:shd w:val="clear" w:color="auto" w:fill="FFFFFF"/>
        <w:spacing w:before="450" w:after="105" w:line="240" w:lineRule="auto"/>
        <w:outlineLvl w:val="1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Условия хранения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сухом, защищенном от света месте, при температуре не выше 25 °С.</w:t>
      </w:r>
    </w:p>
    <w:p w:rsidR="00393B28" w:rsidRPr="00393B28" w:rsidRDefault="00393B28" w:rsidP="00393B2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3B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недоступном для детей месте.</w:t>
      </w:r>
    </w:p>
    <w:p w:rsidR="00612E51" w:rsidRDefault="00612E51"/>
    <w:sectPr w:rsidR="00612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28"/>
    <w:rsid w:val="00393B28"/>
    <w:rsid w:val="0061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3B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3B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9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ispole">
    <w:name w:val="opis_pole"/>
    <w:basedOn w:val="a"/>
    <w:rsid w:val="0039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">
    <w:name w:val="short"/>
    <w:basedOn w:val="a0"/>
    <w:rsid w:val="00393B28"/>
  </w:style>
  <w:style w:type="paragraph" w:styleId="a4">
    <w:name w:val="Balloon Text"/>
    <w:basedOn w:val="a"/>
    <w:link w:val="a5"/>
    <w:uiPriority w:val="99"/>
    <w:semiHidden/>
    <w:unhideWhenUsed/>
    <w:rsid w:val="0039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3B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3B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9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ispole">
    <w:name w:val="opis_pole"/>
    <w:basedOn w:val="a"/>
    <w:rsid w:val="0039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">
    <w:name w:val="short"/>
    <w:basedOn w:val="a0"/>
    <w:rsid w:val="00393B28"/>
  </w:style>
  <w:style w:type="paragraph" w:styleId="a4">
    <w:name w:val="Balloon Text"/>
    <w:basedOn w:val="a"/>
    <w:link w:val="a5"/>
    <w:uiPriority w:val="99"/>
    <w:semiHidden/>
    <w:unhideWhenUsed/>
    <w:rsid w:val="0039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3319</Words>
  <Characters>18921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Зайнуллина</dc:creator>
  <cp:lastModifiedBy>Зайнуллина</cp:lastModifiedBy>
  <cp:revision>1</cp:revision>
  <dcterms:created xsi:type="dcterms:W3CDTF">2022-02-09T06:44:00Z</dcterms:created>
  <dcterms:modified xsi:type="dcterms:W3CDTF">2022-02-09T06:45:00Z</dcterms:modified>
</cp:coreProperties>
</file>